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1BD3E" w14:textId="120949E2" w:rsidR="007F3663" w:rsidRPr="00C04981" w:rsidRDefault="00000EAE" w:rsidP="00831404">
      <w:pPr>
        <w:rPr>
          <w:rFonts w:asciiTheme="minorHAnsi" w:hAnsiTheme="minorHAnsi" w:cstheme="minorHAnsi"/>
        </w:rPr>
      </w:pPr>
      <w:r>
        <w:rPr>
          <w:rFonts w:asciiTheme="minorHAnsi" w:hAnsiTheme="minorHAnsi" w:cstheme="minorHAnsi"/>
        </w:rPr>
        <w:pict w14:anchorId="0935C3C6">
          <v:group id="_x0000_s1045" style="position:absolute;margin-left:0;margin-top:.05pt;width:594.8pt;height:107.75pt;z-index:251656192;mso-position-horizontal-relative:page;mso-position-vertical-relative:page" coordorigin=",1" coordsize="11896,2155">
            <v:rect id="_x0000_s1067" style="position:absolute;top:1;width:11896;height:2155" fillcolor="#5c347a" stroked="f"/>
            <v:shape id="_x0000_s1066" style="position:absolute;left:827;top:719;width:742;height:709" coordorigin="827,719" coordsize="742,709" o:spt="100" adj="0,,0" path="m1214,1251l973,728,827,725r333,697l1214,1251m1569,719r-133,2l1439,1428r130,l1569,719e" fillcolor="#796ebd" stroked="f">
              <v:stroke joinstyle="round"/>
              <v:formulas/>
              <v:path arrowok="t" o:connecttype="segments"/>
            </v:shape>
            <v:shape id="_x0000_s1065" style="position:absolute;left:719;top:706;width:1075;height:751" coordorigin="719,706" coordsize="1075,751" o:spt="100" adj="0,,0" path="m1390,871r-5,-9l1378,859r-8,-1l1361,859r-4,9l1352,882r-5,14l1341,911r-5,14l1331,937r-4,11l1322,960r-6,18l1312,987r-3,10l1304,1008r-3,9l1297,1027r-5,11l1289,1048r-4,11l1280,1069r-3,11l1273,1090r-3,11l1265,1110r-3,10l1258,1129r-3,11l1252,1149r-5,7l1244,1165r-3,8l1238,1180r-3,8l1234,1194r-3,6l1229,1207r-1,3l1226,1215r-3,4l1223,1221r-1,3l1222,1227r-17,-36l1205,1266r-49,132l874,793,847,736r111,l1205,1266r,-75l983,718r-3,-8l974,706r-234,l733,713r,17l740,736r68,l808,1411r-84,l719,1419r,15l724,1440r211,l941,1434r,-15l935,1411r-96,l839,793r306,653l1148,1453r5,3l1163,1456r6,-3l1172,1446r,-3l1174,1441r1,-3l1175,1437r2,-5l1178,1429r2,-4l1181,1420r2,-4l1186,1411r1,-6l1190,1399r1,-1l1192,1393r3,-7l1198,1378r1,-6l1202,1363r3,-7l1208,1348r5,-9l1216,1332r9,-27l1229,1296r3,-11l1237,1276r3,-10l1244,1257r3,-11l1252,1236r3,-9l1259,1216r3,-10l1274,1174r5,-9l1282,1155r4,-11l1291,1134r3,-11l1298,1114r3,-10l1306,1095r3,-11l1312,1075r4,-10l1319,1056r11,-27l1333,1021r3,-9l1339,1005r3,-8l1345,990r3,-8l1349,976r3,-7l1355,963r2,-6l1360,952r1,-6l1363,942r1,-5l1366,934r3,-9l1372,918r3,-8l1379,900r3,-9l1387,880r3,-9m1794,713r-7,-7l1553,706r,30l1553,1411r-101,l1452,736r101,l1553,706r-331,l1214,713r,146l1222,867r18,l1246,859r,-123l1421,736r,675l1355,1411r-7,6l1348,1434r7,6l1650,1440r8,-6l1658,1417r-8,-6l1584,1411r,-675l1763,736r,123l1770,867r17,l1794,859r,-123l1794,713e" fillcolor="#fdfdfd"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2036;top:856;width:205;height:204">
              <v:imagedata r:id="rId11" o:title=""/>
            </v:shape>
            <v:shape id="_x0000_s1063" type="#_x0000_t75" style="position:absolute;left:2283;top:853;width:448;height:210">
              <v:imagedata r:id="rId12" o:title=""/>
            </v:shape>
            <v:shape id="_x0000_s1062" type="#_x0000_t75" style="position:absolute;left:2773;top:856;width:130;height:204">
              <v:imagedata r:id="rId13" o:title=""/>
            </v:shape>
            <v:shape id="_x0000_s1061" type="#_x0000_t75" style="position:absolute;left:2935;top:856;width:142;height:204">
              <v:imagedata r:id="rId14" o:title=""/>
            </v:shape>
            <v:shape id="_x0000_s1060" type="#_x0000_t75" style="position:absolute;left:3170;top:853;width:712;height:210">
              <v:imagedata r:id="rId15" o:title=""/>
            </v:shape>
            <v:shape id="_x0000_s1059" type="#_x0000_t75" style="position:absolute;left:3926;top:856;width:169;height:204">
              <v:imagedata r:id="rId16" o:title=""/>
            </v:shape>
            <v:shape id="_x0000_s1058" type="#_x0000_t75" style="position:absolute;left:4146;top:856;width:144;height:204">
              <v:imagedata r:id="rId17" o:title=""/>
            </v:shape>
            <v:shape id="_x0000_s1057" type="#_x0000_t75" style="position:absolute;left:4328;top:853;width:292;height:210">
              <v:imagedata r:id="rId18" o:title=""/>
            </v:shape>
            <v:shape id="_x0000_s1056" type="#_x0000_t75" style="position:absolute;left:4740;top:859;width:465;height:204">
              <v:imagedata r:id="rId19" o:title=""/>
            </v:shape>
            <v:shape id="_x0000_s1055" type="#_x0000_t75" style="position:absolute;left:2039;top:1176;width:327;height:135">
              <v:imagedata r:id="rId20" o:title=""/>
            </v:shape>
            <v:shape id="_x0000_s1054" type="#_x0000_t75" style="position:absolute;left:2439;top:1176;width:675;height:176">
              <v:imagedata r:id="rId21" o:title=""/>
            </v:shape>
            <v:shape id="_x0000_s1053" type="#_x0000_t75" style="position:absolute;left:3173;top:1174;width:608;height:177">
              <v:imagedata r:id="rId22" o:title=""/>
            </v:shape>
            <v:shape id="_x0000_s1052" type="#_x0000_t75" style="position:absolute;left:3842;top:1174;width:950;height:176">
              <v:imagedata r:id="rId23" o:title=""/>
            </v:shape>
            <v:shape id="_x0000_s1051" type="#_x0000_t75" style="position:absolute;left:8910;top:1176;width:2257;height:137">
              <v:imagedata r:id="rId24" o:title=""/>
            </v:shape>
            <v:shape id="_x0000_s1050" type="#_x0000_t75" style="position:absolute;left:9824;top:897;width:166;height:166">
              <v:imagedata r:id="rId25" o:title=""/>
            </v:shape>
            <v:shape id="_x0000_s1049" type="#_x0000_t75" style="position:absolute;left:10022;top:897;width:354;height:166">
              <v:imagedata r:id="rId26" o:title=""/>
            </v:shape>
            <v:shape id="_x0000_s1048" type="#_x0000_t75" style="position:absolute;left:10463;top:897;width:256;height:166">
              <v:imagedata r:id="rId27" o:title=""/>
            </v:shape>
            <v:shape id="_x0000_s1047" type="#_x0000_t75" style="position:absolute;left:10813;top:897;width:352;height:166">
              <v:imagedata r:id="rId28" o:title=""/>
            </v:shape>
            <v:line id="_x0000_s1046" style="position:absolute" from="719,1728" to="11176,1728" strokecolor="#fdfdfd" strokeweight=".47633mm"/>
            <w10:wrap anchorx="page" anchory="page"/>
          </v:group>
        </w:pict>
      </w:r>
      <w:r>
        <w:rPr>
          <w:rFonts w:asciiTheme="minorHAnsi" w:hAnsiTheme="minorHAnsi" w:cstheme="minorHAnsi"/>
        </w:rPr>
        <w:pict w14:anchorId="6EA44B02">
          <v:line id="_x0000_s1044" style="position:absolute;z-index:251657216;mso-position-horizontal-relative:page;mso-position-vertical-relative:page" from="35.95pt,777.35pt" to="416.35pt,777.35pt" strokecolor="#5c347a" strokeweight=".47633mm">
            <w10:wrap anchorx="page" anchory="page"/>
          </v:line>
        </w:pict>
      </w:r>
      <w:r>
        <w:rPr>
          <w:rFonts w:asciiTheme="minorHAnsi" w:hAnsiTheme="minorHAnsi" w:cstheme="minorHAnsi"/>
        </w:rPr>
        <w:pict w14:anchorId="2FDE81E4">
          <v:group id="_x0000_s1029" style="position:absolute;margin-left:36.65pt;margin-top:791.3pt;width:221.4pt;height:16.15pt;z-index:251658240;mso-position-horizontal-relative:page;mso-position-vertical-relative:page" coordorigin="733,15826" coordsize="4428,323">
            <v:shape id="_x0000_s1043" type="#_x0000_t75" style="position:absolute;left:733;top:15827;width:746;height:141">
              <v:imagedata r:id="rId29" o:title=""/>
            </v:shape>
            <v:shape id="_x0000_s1042" type="#_x0000_t75" style="position:absolute;left:1541;top:15826;width:460;height:113">
              <v:imagedata r:id="rId30" o:title=""/>
            </v:shape>
            <v:shape id="_x0000_s1041" type="#_x0000_t75" style="position:absolute;left:2054;top:15827;width:117;height:110">
              <v:imagedata r:id="rId31" o:title=""/>
            </v:shape>
            <v:shape id="_x0000_s1040" type="#_x0000_t75" style="position:absolute;left:2227;top:15827;width:571;height:110">
              <v:imagedata r:id="rId32" o:title=""/>
            </v:shape>
            <v:shape id="_x0000_s1039" type="#_x0000_t75" style="position:absolute;left:2866;top:15827;width:388;height:134">
              <v:imagedata r:id="rId33" o:title=""/>
            </v:shape>
            <v:shape id="_x0000_s1038" type="#_x0000_t75" style="position:absolute;left:3304;top:15827;width:618;height:110">
              <v:imagedata r:id="rId34" o:title=""/>
            </v:shape>
            <v:shape id="_x0000_s1037" type="#_x0000_t75" style="position:absolute;left:3975;top:15827;width:483;height:143">
              <v:imagedata r:id="rId35" o:title=""/>
            </v:shape>
            <v:shape id="_x0000_s1036" type="#_x0000_t75" style="position:absolute;left:4519;top:15827;width:273;height:110">
              <v:imagedata r:id="rId36" o:title=""/>
            </v:shape>
            <v:shape id="_x0000_s1035" type="#_x0000_t75" style="position:absolute;left:4851;top:15826;width:310;height:111">
              <v:imagedata r:id="rId37" o:title=""/>
            </v:shape>
            <v:shape id="_x0000_s1034" type="#_x0000_t75" style="position:absolute;left:733;top:16007;width:746;height:141">
              <v:imagedata r:id="rId38" o:title=""/>
            </v:shape>
            <v:shape id="_x0000_s1033" type="#_x0000_t75" style="position:absolute;left:1544;top:16009;width:115;height:108">
              <v:imagedata r:id="rId39" o:title=""/>
            </v:shape>
            <v:shape id="_x0000_s1032" type="#_x0000_t75" style="position:absolute;left:1725;top:16007;width:588;height:141">
              <v:imagedata r:id="rId40" o:title=""/>
            </v:shape>
            <v:shape id="_x0000_s1031" type="#_x0000_t75" style="position:absolute;left:2380;top:16007;width:220;height:111">
              <v:imagedata r:id="rId41" o:title=""/>
            </v:shape>
            <v:shape id="_x0000_s1030" type="#_x0000_t75" style="position:absolute;left:2652;top:16006;width:610;height:111">
              <v:imagedata r:id="rId42" o:title=""/>
            </v:shape>
            <w10:wrap anchorx="page" anchory="page"/>
          </v:group>
        </w:pict>
      </w:r>
      <w:r>
        <w:rPr>
          <w:rFonts w:asciiTheme="minorHAnsi" w:hAnsiTheme="minorHAnsi" w:cstheme="minorHAnsi"/>
        </w:rPr>
        <w:pict w14:anchorId="0629CC8B">
          <v:group id="_x0000_s1026" style="position:absolute;margin-left:430.2pt;margin-top:774.05pt;width:131.8pt;height:31.85pt;z-index:251659264;mso-position-horizontal-relative:page;mso-position-vertical-relative:page" coordorigin="8604,15481" coordsize="2636,637">
            <v:shape id="_x0000_s1028" type="#_x0000_t75" style="position:absolute;left:8784;top:16022;width:2130;height:95">
              <v:imagedata r:id="rId43" o:title=""/>
            </v:shape>
            <v:shape id="_x0000_s1027" type="#_x0000_t75" style="position:absolute;left:8604;top:15481;width:2635;height:543">
              <v:imagedata r:id="rId44" o:title=""/>
            </v:shape>
            <w10:wrap anchorx="page" anchory="page"/>
          </v:group>
        </w:pict>
      </w:r>
      <w:r w:rsidR="00AE7506" w:rsidRPr="00C04981">
        <w:rPr>
          <w:rFonts w:asciiTheme="minorHAnsi" w:hAnsiTheme="minorHAnsi" w:cstheme="minorHAnsi"/>
        </w:rPr>
        <w:t xml:space="preserve">  </w:t>
      </w:r>
      <w:proofErr w:type="spellStart"/>
      <w:r w:rsidR="00AE7506" w:rsidRPr="00C04981">
        <w:rPr>
          <w:rFonts w:asciiTheme="minorHAnsi" w:hAnsiTheme="minorHAnsi" w:cstheme="minorHAnsi"/>
        </w:rPr>
        <w:t>Hgu</w:t>
      </w:r>
      <w:proofErr w:type="spellEnd"/>
    </w:p>
    <w:p w14:paraId="3E8ACCB0" w14:textId="09641947" w:rsidR="00AE7506" w:rsidRPr="00C04981" w:rsidRDefault="00AE7506" w:rsidP="00831404">
      <w:pPr>
        <w:rPr>
          <w:rFonts w:asciiTheme="minorHAnsi" w:hAnsiTheme="minorHAnsi" w:cstheme="minorHAnsi"/>
        </w:rPr>
      </w:pPr>
    </w:p>
    <w:p w14:paraId="602A78C8" w14:textId="58686F24" w:rsidR="00AE7506" w:rsidRPr="00C04981" w:rsidRDefault="00AE7506" w:rsidP="00831404">
      <w:pPr>
        <w:rPr>
          <w:rFonts w:asciiTheme="minorHAnsi" w:hAnsiTheme="minorHAnsi" w:cstheme="minorHAnsi"/>
        </w:rPr>
      </w:pPr>
    </w:p>
    <w:p w14:paraId="397C93CB" w14:textId="7E0DDD54" w:rsidR="00AE7506" w:rsidRDefault="00AE7506" w:rsidP="00831404">
      <w:pPr>
        <w:rPr>
          <w:rFonts w:asciiTheme="minorHAnsi" w:hAnsiTheme="minorHAnsi" w:cstheme="minorHAnsi"/>
        </w:rPr>
      </w:pPr>
    </w:p>
    <w:p w14:paraId="74F0D7D9" w14:textId="7248B65C" w:rsidR="00986C10" w:rsidRPr="008E1A54" w:rsidRDefault="00986C10" w:rsidP="00831404">
      <w:pPr>
        <w:rPr>
          <w:rFonts w:asciiTheme="minorHAnsi" w:hAnsiTheme="minorHAnsi" w:cstheme="minorHAnsi"/>
          <w:b/>
          <w:bCs/>
          <w:color w:val="461E64"/>
          <w:sz w:val="32"/>
          <w:szCs w:val="32"/>
        </w:rPr>
      </w:pPr>
      <w:r w:rsidRPr="008E1A54">
        <w:rPr>
          <w:rFonts w:asciiTheme="minorHAnsi" w:hAnsiTheme="minorHAnsi" w:cstheme="minorHAnsi"/>
          <w:b/>
          <w:bCs/>
          <w:color w:val="461E64"/>
          <w:sz w:val="32"/>
          <w:szCs w:val="32"/>
        </w:rPr>
        <w:t>Safeguarding and Safer Recruitment Policy</w:t>
      </w:r>
    </w:p>
    <w:p w14:paraId="2A52C01D" w14:textId="77777777" w:rsidR="00986C10" w:rsidRPr="00692646" w:rsidRDefault="00986C10" w:rsidP="00986C10">
      <w:pPr>
        <w:tabs>
          <w:tab w:val="left" w:pos="375"/>
          <w:tab w:val="center" w:pos="1551"/>
        </w:tabs>
        <w:rPr>
          <w:rFonts w:ascii="Calibri" w:hAnsi="Calibri" w:cs="Calibri"/>
          <w:bCs/>
          <w:noProof/>
        </w:rPr>
      </w:pPr>
      <w:r w:rsidRPr="00692646">
        <w:rPr>
          <w:rFonts w:ascii="Calibri" w:hAnsi="Calibri"/>
          <w:b/>
          <w:bCs/>
          <w:noProof/>
        </w:rPr>
        <w:tab/>
      </w:r>
      <w:bookmarkStart w:id="0" w:name="_Hlk33431042"/>
    </w:p>
    <w:p w14:paraId="43A0EE2E" w14:textId="620EF0DF" w:rsidR="00986C10" w:rsidRPr="00692646" w:rsidRDefault="00986C10" w:rsidP="00986C10">
      <w:pPr>
        <w:adjustRightInd w:val="0"/>
        <w:jc w:val="both"/>
        <w:rPr>
          <w:rFonts w:ascii="Calibri" w:hAnsi="Calibri" w:cs="Calibri"/>
          <w:color w:val="000000"/>
        </w:rPr>
      </w:pPr>
      <w:r w:rsidRPr="00692646">
        <w:rPr>
          <w:rFonts w:ascii="Calibri" w:hAnsi="Calibri" w:cs="Calibri"/>
          <w:bCs/>
          <w:noProof/>
        </w:rPr>
        <w:t xml:space="preserve">Moore Teachers is committed to </w:t>
      </w:r>
      <w:r w:rsidRPr="00692646">
        <w:rPr>
          <w:rFonts w:ascii="Calibri" w:hAnsi="Calibri" w:cs="Calibri"/>
          <w:color w:val="231F20"/>
        </w:rPr>
        <w:t xml:space="preserve">safeguarding and promoting the welfare of children introduced by section 175 of the Education Act 2002 which came into force on 1 June 2004.  The company adopts the requirements laid out in the </w:t>
      </w:r>
      <w:r w:rsidRPr="00692646">
        <w:rPr>
          <w:rFonts w:ascii="Calibri" w:hAnsi="Calibri" w:cs="Calibri"/>
          <w:color w:val="000000"/>
        </w:rPr>
        <w:t>DfE statutory guidance for schools and colleges ‘Keeping children safe in education’ September 20</w:t>
      </w:r>
      <w:r w:rsidR="00535D12">
        <w:rPr>
          <w:rFonts w:ascii="Calibri" w:hAnsi="Calibri" w:cs="Calibri"/>
          <w:color w:val="000000"/>
        </w:rPr>
        <w:t>20</w:t>
      </w:r>
      <w:r w:rsidRPr="00692646">
        <w:rPr>
          <w:rFonts w:ascii="Calibri" w:hAnsi="Calibri" w:cs="Calibri"/>
          <w:color w:val="000000"/>
        </w:rPr>
        <w:t xml:space="preserve"> </w:t>
      </w:r>
      <w:r w:rsidRPr="00692646">
        <w:rPr>
          <w:rFonts w:ascii="Calibri" w:hAnsi="Calibri" w:cs="Calibri"/>
          <w:color w:val="231F20"/>
        </w:rPr>
        <w:t xml:space="preserve">and expects </w:t>
      </w:r>
      <w:r w:rsidRPr="00692646">
        <w:rPr>
          <w:rFonts w:ascii="Calibri" w:hAnsi="Calibri" w:cs="Calibri"/>
          <w:color w:val="000000"/>
        </w:rPr>
        <w:t>all staff and candidates on its register to share this commitment and to be fully aware of the importance of child protection.</w:t>
      </w:r>
    </w:p>
    <w:p w14:paraId="0FDE25CB" w14:textId="77777777" w:rsidR="00986C10" w:rsidRPr="00692646" w:rsidRDefault="00986C10" w:rsidP="00986C10">
      <w:pPr>
        <w:adjustRightInd w:val="0"/>
        <w:rPr>
          <w:rFonts w:ascii="Calibri" w:hAnsi="Calibri" w:cs="Calibri"/>
          <w:color w:val="000000"/>
        </w:rPr>
      </w:pPr>
    </w:p>
    <w:p w14:paraId="585C905F" w14:textId="77777777" w:rsidR="00986C10" w:rsidRPr="00692646" w:rsidRDefault="00986C10" w:rsidP="00986C10">
      <w:pPr>
        <w:adjustRightInd w:val="0"/>
        <w:rPr>
          <w:rFonts w:ascii="Calibri" w:hAnsi="Calibri" w:cs="Calibri"/>
          <w:color w:val="000000"/>
        </w:rPr>
      </w:pPr>
      <w:r w:rsidRPr="00692646">
        <w:rPr>
          <w:rFonts w:ascii="Calibri" w:hAnsi="Calibri" w:cs="Calibri"/>
          <w:color w:val="000000"/>
        </w:rPr>
        <w:t>In addition, Moore Teachers is committed to ensuring that its obligations under the ‘Safeguarding Vulnerable Groups Act’ 2006 with regards to barred persons and the Independent Safeguarding Authority are met.</w:t>
      </w:r>
    </w:p>
    <w:p w14:paraId="721B6C1E" w14:textId="77777777" w:rsidR="00986C10" w:rsidRPr="00692646" w:rsidRDefault="00986C10" w:rsidP="00986C10">
      <w:pPr>
        <w:adjustRightInd w:val="0"/>
        <w:rPr>
          <w:rFonts w:ascii="Calibri" w:hAnsi="Calibri" w:cs="Calibri"/>
          <w:color w:val="000000"/>
        </w:rPr>
      </w:pPr>
    </w:p>
    <w:p w14:paraId="210FB269" w14:textId="77777777" w:rsidR="00986C10" w:rsidRPr="00692646" w:rsidRDefault="00986C10" w:rsidP="00986C10">
      <w:pPr>
        <w:adjustRightInd w:val="0"/>
        <w:rPr>
          <w:rFonts w:ascii="Calibri" w:hAnsi="Calibri" w:cs="Calibri"/>
          <w:color w:val="000000"/>
        </w:rPr>
      </w:pPr>
      <w:r w:rsidRPr="00692646">
        <w:rPr>
          <w:rFonts w:ascii="Calibri" w:hAnsi="Calibri" w:cs="Calibri"/>
          <w:color w:val="000000"/>
        </w:rPr>
        <w:t>To ensure best practice and safeguarding in recruitment, all office-based staff have undertaken a ‘Safer Recruitment’ accredited training course and all supply staff have completed safeguarding training.</w:t>
      </w:r>
    </w:p>
    <w:p w14:paraId="723C3531" w14:textId="77777777" w:rsidR="00986C10" w:rsidRPr="00692646" w:rsidRDefault="00986C10" w:rsidP="00986C10">
      <w:pPr>
        <w:adjustRightInd w:val="0"/>
        <w:rPr>
          <w:rFonts w:ascii="Calibri" w:hAnsi="Calibri" w:cs="Calibri"/>
          <w:color w:val="000000"/>
        </w:rPr>
      </w:pPr>
    </w:p>
    <w:p w14:paraId="0AD18AD8" w14:textId="77777777" w:rsidR="00986C10" w:rsidRPr="00692646" w:rsidRDefault="00986C10" w:rsidP="00986C10">
      <w:pPr>
        <w:adjustRightInd w:val="0"/>
        <w:rPr>
          <w:rFonts w:ascii="Calibri" w:hAnsi="Calibri" w:cs="Calibri"/>
          <w:color w:val="000000"/>
        </w:rPr>
      </w:pPr>
      <w:r w:rsidRPr="00692646">
        <w:rPr>
          <w:rFonts w:ascii="Calibri" w:hAnsi="Calibri" w:cs="Calibri"/>
          <w:color w:val="000000"/>
        </w:rPr>
        <w:t>Moore Teachers carry out the following recruitment and vetting checks on all candidates before supplying staff to educational settings:</w:t>
      </w:r>
    </w:p>
    <w:p w14:paraId="23C845A1" w14:textId="77777777" w:rsidR="00986C10" w:rsidRPr="00692646" w:rsidRDefault="00986C10" w:rsidP="00986C10">
      <w:pPr>
        <w:adjustRightInd w:val="0"/>
        <w:rPr>
          <w:rFonts w:ascii="Calibri" w:hAnsi="Calibri" w:cs="Calibri"/>
          <w:color w:val="000000"/>
        </w:rPr>
      </w:pPr>
    </w:p>
    <w:p w14:paraId="5523FE10" w14:textId="77777777" w:rsidR="00986C10" w:rsidRPr="00692646" w:rsidRDefault="00986C10" w:rsidP="00986C10">
      <w:pPr>
        <w:widowControl/>
        <w:numPr>
          <w:ilvl w:val="0"/>
          <w:numId w:val="3"/>
        </w:numPr>
        <w:adjustRightInd w:val="0"/>
        <w:rPr>
          <w:rFonts w:ascii="Calibri" w:hAnsi="Calibri" w:cs="Calibri"/>
          <w:color w:val="000000"/>
        </w:rPr>
      </w:pPr>
      <w:r w:rsidRPr="00692646">
        <w:rPr>
          <w:rFonts w:ascii="Calibri" w:hAnsi="Calibri" w:cs="Calibri"/>
          <w:color w:val="000000"/>
        </w:rPr>
        <w:t>A personal face-to-face interview with every candidate</w:t>
      </w:r>
    </w:p>
    <w:p w14:paraId="60D69E14" w14:textId="77777777" w:rsidR="00986C10" w:rsidRPr="00692646" w:rsidRDefault="00986C10" w:rsidP="00986C10">
      <w:pPr>
        <w:widowControl/>
        <w:numPr>
          <w:ilvl w:val="0"/>
          <w:numId w:val="3"/>
        </w:numPr>
        <w:adjustRightInd w:val="0"/>
        <w:rPr>
          <w:rFonts w:ascii="Calibri" w:hAnsi="Calibri" w:cs="Calibri"/>
          <w:color w:val="000000"/>
        </w:rPr>
      </w:pPr>
      <w:r w:rsidRPr="00692646">
        <w:rPr>
          <w:rFonts w:ascii="Calibri" w:hAnsi="Calibri" w:cs="Calibri"/>
          <w:color w:val="000000"/>
        </w:rPr>
        <w:t xml:space="preserve">Identity checks </w:t>
      </w:r>
    </w:p>
    <w:p w14:paraId="247B3F2E" w14:textId="77777777" w:rsidR="00986C10" w:rsidRPr="00692646" w:rsidRDefault="00986C10" w:rsidP="00986C10">
      <w:pPr>
        <w:widowControl/>
        <w:numPr>
          <w:ilvl w:val="0"/>
          <w:numId w:val="3"/>
        </w:numPr>
        <w:adjustRightInd w:val="0"/>
        <w:rPr>
          <w:rFonts w:ascii="Calibri" w:hAnsi="Calibri" w:cs="Calibri"/>
          <w:color w:val="000000"/>
        </w:rPr>
      </w:pPr>
      <w:r w:rsidRPr="00692646">
        <w:rPr>
          <w:rFonts w:ascii="Calibri" w:hAnsi="Calibri" w:cs="Calibri"/>
          <w:color w:val="000000"/>
        </w:rPr>
        <w:t xml:space="preserve">Proof of address confirmed </w:t>
      </w:r>
    </w:p>
    <w:p w14:paraId="7A5C6626" w14:textId="77777777" w:rsidR="00521232" w:rsidRPr="00521232" w:rsidRDefault="00521232" w:rsidP="00521232">
      <w:pPr>
        <w:widowControl/>
        <w:numPr>
          <w:ilvl w:val="0"/>
          <w:numId w:val="3"/>
        </w:numPr>
        <w:adjustRightInd w:val="0"/>
        <w:rPr>
          <w:rFonts w:asciiTheme="minorHAnsi" w:hAnsiTheme="minorHAnsi" w:cstheme="minorHAnsi"/>
          <w:color w:val="000000"/>
        </w:rPr>
      </w:pPr>
      <w:r w:rsidRPr="00521232">
        <w:rPr>
          <w:rFonts w:asciiTheme="minorHAnsi" w:hAnsiTheme="minorHAnsi" w:cstheme="minorHAnsi"/>
          <w:color w:val="000000"/>
        </w:rPr>
        <w:t>Right to work in the UK and any necessary entry clearance certificates, work permits, visa documents and/or EU Settled or Pre-Settled Status confirmation have been obtained</w:t>
      </w:r>
    </w:p>
    <w:p w14:paraId="029B71F8" w14:textId="77777777" w:rsidR="00986C10" w:rsidRPr="00692646" w:rsidRDefault="00986C10" w:rsidP="00986C10">
      <w:pPr>
        <w:widowControl/>
        <w:numPr>
          <w:ilvl w:val="0"/>
          <w:numId w:val="3"/>
        </w:numPr>
        <w:adjustRightInd w:val="0"/>
        <w:rPr>
          <w:rFonts w:ascii="Calibri" w:hAnsi="Calibri" w:cs="Calibri"/>
          <w:color w:val="000000"/>
        </w:rPr>
      </w:pPr>
      <w:r w:rsidRPr="00692646">
        <w:rPr>
          <w:rFonts w:ascii="Calibri" w:hAnsi="Calibri" w:cs="Calibri"/>
          <w:color w:val="000000"/>
        </w:rPr>
        <w:t>Authenticity of all teaching and child-care qualifications</w:t>
      </w:r>
    </w:p>
    <w:p w14:paraId="206FDF55" w14:textId="77777777" w:rsidR="00986C10" w:rsidRPr="00692646" w:rsidRDefault="00986C10" w:rsidP="00986C10">
      <w:pPr>
        <w:widowControl/>
        <w:numPr>
          <w:ilvl w:val="0"/>
          <w:numId w:val="3"/>
        </w:numPr>
        <w:adjustRightInd w:val="0"/>
        <w:rPr>
          <w:rFonts w:ascii="Calibri" w:hAnsi="Calibri" w:cs="Calibri"/>
          <w:color w:val="000000"/>
        </w:rPr>
      </w:pPr>
      <w:r w:rsidRPr="00692646">
        <w:rPr>
          <w:rFonts w:ascii="Calibri" w:hAnsi="Calibri" w:cs="Calibri"/>
          <w:color w:val="000000"/>
        </w:rPr>
        <w:t>Verification of QTS and successful completion of induction from “The TRA”</w:t>
      </w:r>
    </w:p>
    <w:p w14:paraId="7ED7881C" w14:textId="77777777" w:rsidR="00986C10" w:rsidRPr="00692646" w:rsidRDefault="00986C10" w:rsidP="00986C10">
      <w:pPr>
        <w:widowControl/>
        <w:numPr>
          <w:ilvl w:val="0"/>
          <w:numId w:val="3"/>
        </w:numPr>
        <w:adjustRightInd w:val="0"/>
        <w:rPr>
          <w:rFonts w:ascii="Calibri" w:hAnsi="Calibri" w:cs="Calibri"/>
          <w:color w:val="000000"/>
        </w:rPr>
      </w:pPr>
      <w:r w:rsidRPr="00692646">
        <w:rPr>
          <w:rFonts w:ascii="Calibri" w:hAnsi="Calibri" w:cs="Calibri"/>
          <w:color w:val="000000"/>
        </w:rPr>
        <w:t xml:space="preserve">Confirmed that Overseas Trained Teachers hold teaching qualifications which are deemed by UK NARIC to be equivalent to a British teaching degree or PGCE </w:t>
      </w:r>
    </w:p>
    <w:p w14:paraId="2D8D8EE9" w14:textId="77777777" w:rsidR="00986C10" w:rsidRPr="00692646" w:rsidRDefault="00986C10" w:rsidP="00986C10">
      <w:pPr>
        <w:pStyle w:val="Default"/>
        <w:numPr>
          <w:ilvl w:val="0"/>
          <w:numId w:val="3"/>
        </w:numPr>
        <w:rPr>
          <w:rFonts w:ascii="Calibri" w:hAnsi="Calibri" w:cs="Calibri"/>
          <w:sz w:val="22"/>
          <w:szCs w:val="22"/>
        </w:rPr>
      </w:pPr>
      <w:r w:rsidRPr="00692646">
        <w:rPr>
          <w:rFonts w:ascii="Calibri" w:hAnsi="Calibri" w:cs="Calibri"/>
          <w:sz w:val="22"/>
          <w:szCs w:val="22"/>
        </w:rPr>
        <w:t>DBS enhanced disclosure obtained (including the acceptance of disclosures dated within the last 12 months which have been issued by an agency or Local Authority)</w:t>
      </w:r>
    </w:p>
    <w:p w14:paraId="2AB05A7C" w14:textId="77777777" w:rsidR="00986C10" w:rsidRPr="00692646" w:rsidRDefault="00986C10" w:rsidP="00986C10">
      <w:pPr>
        <w:pStyle w:val="Default"/>
        <w:numPr>
          <w:ilvl w:val="0"/>
          <w:numId w:val="3"/>
        </w:numPr>
        <w:rPr>
          <w:rFonts w:ascii="Calibri" w:hAnsi="Calibri" w:cs="Calibri"/>
          <w:sz w:val="22"/>
          <w:szCs w:val="22"/>
        </w:rPr>
      </w:pPr>
      <w:r w:rsidRPr="00692646">
        <w:rPr>
          <w:rFonts w:ascii="Calibri" w:hAnsi="Calibri" w:cs="Calibri"/>
          <w:sz w:val="22"/>
          <w:szCs w:val="22"/>
        </w:rPr>
        <w:t>A new DBS is obtained for all candidates that are not registered on the update service, whose DBS is more than 12 months old or if the DBS is for Adult and Child Workforce.</w:t>
      </w:r>
    </w:p>
    <w:p w14:paraId="4A8C18B8" w14:textId="77777777" w:rsidR="00986C10" w:rsidRPr="00692646" w:rsidRDefault="00986C10" w:rsidP="00986C10">
      <w:pPr>
        <w:pStyle w:val="Default"/>
        <w:numPr>
          <w:ilvl w:val="0"/>
          <w:numId w:val="3"/>
        </w:numPr>
        <w:rPr>
          <w:rFonts w:ascii="Calibri" w:hAnsi="Calibri" w:cs="Calibri"/>
          <w:sz w:val="22"/>
          <w:szCs w:val="22"/>
        </w:rPr>
      </w:pPr>
      <w:r w:rsidRPr="00692646">
        <w:rPr>
          <w:rFonts w:ascii="Calibri" w:hAnsi="Calibri" w:cs="Calibri"/>
          <w:sz w:val="22"/>
          <w:szCs w:val="22"/>
        </w:rPr>
        <w:t>DBS update service check at point of registration for all candidates subscribed to this service.  An update check is then carried out annually or following a break of more than 3 months working with Moore Teachers</w:t>
      </w:r>
    </w:p>
    <w:p w14:paraId="7A89F1C6" w14:textId="550129D2" w:rsidR="00521232" w:rsidRDefault="00521232" w:rsidP="00521232">
      <w:pPr>
        <w:pStyle w:val="Default"/>
        <w:numPr>
          <w:ilvl w:val="0"/>
          <w:numId w:val="3"/>
        </w:numPr>
        <w:rPr>
          <w:rFonts w:ascii="Arial" w:hAnsi="Arial" w:cs="Arial"/>
          <w:sz w:val="20"/>
          <w:szCs w:val="20"/>
        </w:rPr>
      </w:pPr>
      <w:r>
        <w:rPr>
          <w:rFonts w:ascii="Arial" w:hAnsi="Arial" w:cs="Arial"/>
          <w:sz w:val="20"/>
          <w:szCs w:val="20"/>
        </w:rPr>
        <w:t xml:space="preserve">In accordance with the Home Office, </w:t>
      </w:r>
      <w:r w:rsidRPr="00EA730A">
        <w:rPr>
          <w:rFonts w:asciiTheme="minorHAnsi" w:hAnsiTheme="minorHAnsi" w:cstheme="minorHAnsi"/>
          <w:sz w:val="22"/>
          <w:szCs w:val="22"/>
        </w:rPr>
        <w:t xml:space="preserve">an overseas police check will be </w:t>
      </w:r>
      <w:r w:rsidR="00EA730A" w:rsidRPr="00EA730A">
        <w:rPr>
          <w:rFonts w:asciiTheme="minorHAnsi" w:hAnsiTheme="minorHAnsi" w:cstheme="minorHAnsi"/>
          <w:sz w:val="22"/>
          <w:szCs w:val="22"/>
        </w:rPr>
        <w:t>requested</w:t>
      </w:r>
      <w:r w:rsidRPr="00EA730A">
        <w:rPr>
          <w:rFonts w:asciiTheme="minorHAnsi" w:hAnsiTheme="minorHAnsi" w:cstheme="minorHAnsi"/>
          <w:sz w:val="22"/>
          <w:szCs w:val="22"/>
        </w:rPr>
        <w:t xml:space="preserve"> for all candidates who have lived outside the UK for more than 6 months within the last 5 years</w:t>
      </w:r>
      <w:r w:rsidR="002057B6" w:rsidRPr="00EA730A">
        <w:rPr>
          <w:rFonts w:asciiTheme="minorHAnsi" w:hAnsiTheme="minorHAnsi" w:cstheme="minorHAnsi"/>
          <w:sz w:val="22"/>
          <w:szCs w:val="22"/>
        </w:rPr>
        <w:t>.  If we are unable to obtain a copy of an overseas police check further clarification will be carried out to determine suitability e.g.  additional references from overseas employers, clarification from same asking for confirmation of clear police checks, copies of any work or residence permits that are provided only on basis of clear police checks</w:t>
      </w:r>
      <w:r w:rsidR="002057B6">
        <w:rPr>
          <w:rFonts w:ascii="Arial" w:hAnsi="Arial" w:cs="Arial"/>
          <w:sz w:val="20"/>
          <w:szCs w:val="20"/>
        </w:rPr>
        <w:t xml:space="preserve">.  </w:t>
      </w:r>
    </w:p>
    <w:p w14:paraId="5683E005" w14:textId="77777777" w:rsidR="00986C10" w:rsidRPr="00692646" w:rsidRDefault="00986C10" w:rsidP="00986C10">
      <w:pPr>
        <w:pStyle w:val="Default"/>
        <w:numPr>
          <w:ilvl w:val="0"/>
          <w:numId w:val="3"/>
        </w:numPr>
        <w:rPr>
          <w:rFonts w:ascii="Calibri" w:hAnsi="Calibri" w:cs="Calibri"/>
          <w:sz w:val="22"/>
          <w:szCs w:val="22"/>
        </w:rPr>
      </w:pPr>
      <w:r w:rsidRPr="00692646">
        <w:rPr>
          <w:rFonts w:ascii="Calibri" w:hAnsi="Calibri" w:cs="Calibri"/>
          <w:sz w:val="22"/>
          <w:szCs w:val="22"/>
        </w:rPr>
        <w:t>Under the exemption in the Rehabilitation of Offenders Act, 1974, all candidates are asked to declare any convictions, cautions or reprimands, spent or un-spent subject to the filtering rules of May 2013</w:t>
      </w:r>
    </w:p>
    <w:p w14:paraId="1C3611EF" w14:textId="77777777" w:rsidR="00986C10" w:rsidRPr="00692646" w:rsidRDefault="00986C10" w:rsidP="00986C10">
      <w:pPr>
        <w:pStyle w:val="Default"/>
        <w:numPr>
          <w:ilvl w:val="0"/>
          <w:numId w:val="3"/>
        </w:numPr>
        <w:rPr>
          <w:rFonts w:ascii="Calibri" w:hAnsi="Calibri" w:cs="Calibri"/>
          <w:sz w:val="22"/>
          <w:szCs w:val="22"/>
        </w:rPr>
      </w:pPr>
      <w:r w:rsidRPr="00692646">
        <w:rPr>
          <w:rFonts w:ascii="Calibri" w:hAnsi="Calibri" w:cs="Calibri"/>
          <w:sz w:val="22"/>
          <w:szCs w:val="22"/>
        </w:rPr>
        <w:t>Risk Assessment conducted on all candidates with disclosures on their DBS or overseas police check to determine suitability for registration</w:t>
      </w:r>
    </w:p>
    <w:p w14:paraId="615AC9CD" w14:textId="77777777" w:rsidR="00986C10" w:rsidRPr="00692646" w:rsidRDefault="00986C10" w:rsidP="00986C10">
      <w:pPr>
        <w:pStyle w:val="Default"/>
        <w:numPr>
          <w:ilvl w:val="0"/>
          <w:numId w:val="3"/>
        </w:numPr>
        <w:rPr>
          <w:rFonts w:ascii="Calibri" w:hAnsi="Calibri" w:cs="Calibri"/>
          <w:sz w:val="22"/>
          <w:szCs w:val="22"/>
        </w:rPr>
      </w:pPr>
      <w:r w:rsidRPr="00692646">
        <w:rPr>
          <w:rFonts w:ascii="Calibri" w:hAnsi="Calibri" w:cs="Calibri"/>
          <w:sz w:val="22"/>
          <w:szCs w:val="22"/>
        </w:rPr>
        <w:t>Verification that candidate is medically fit to work</w:t>
      </w:r>
    </w:p>
    <w:p w14:paraId="72FC9E5A" w14:textId="77777777" w:rsidR="00986C10" w:rsidRPr="00692646" w:rsidRDefault="00986C10" w:rsidP="00986C10">
      <w:pPr>
        <w:pStyle w:val="Default"/>
        <w:numPr>
          <w:ilvl w:val="0"/>
          <w:numId w:val="3"/>
        </w:numPr>
        <w:rPr>
          <w:rFonts w:ascii="Calibri" w:hAnsi="Calibri" w:cs="Calibri"/>
          <w:sz w:val="22"/>
          <w:szCs w:val="22"/>
        </w:rPr>
      </w:pPr>
      <w:r w:rsidRPr="00692646">
        <w:rPr>
          <w:rFonts w:ascii="Calibri" w:hAnsi="Calibri" w:cs="Calibri"/>
          <w:sz w:val="22"/>
          <w:szCs w:val="22"/>
        </w:rPr>
        <w:t>Obtained at least 2 satisfactory written references, one of which is from the candidate’s most recent employer</w:t>
      </w:r>
    </w:p>
    <w:p w14:paraId="6053DD93" w14:textId="77777777" w:rsidR="00986C10" w:rsidRPr="00692646" w:rsidRDefault="00986C10" w:rsidP="00986C10">
      <w:pPr>
        <w:pStyle w:val="Default"/>
        <w:numPr>
          <w:ilvl w:val="0"/>
          <w:numId w:val="3"/>
        </w:numPr>
        <w:rPr>
          <w:rFonts w:ascii="Calibri" w:hAnsi="Calibri" w:cs="Calibri"/>
          <w:sz w:val="22"/>
          <w:szCs w:val="22"/>
        </w:rPr>
      </w:pPr>
      <w:r w:rsidRPr="00692646">
        <w:rPr>
          <w:rFonts w:ascii="Calibri" w:hAnsi="Calibri" w:cs="Calibri"/>
          <w:sz w:val="22"/>
          <w:szCs w:val="22"/>
        </w:rPr>
        <w:t>Verified any gaps in the candidates work history</w:t>
      </w:r>
    </w:p>
    <w:p w14:paraId="0C684C6A" w14:textId="77777777" w:rsidR="00986C10" w:rsidRPr="00692646" w:rsidRDefault="00986C10" w:rsidP="00986C10">
      <w:pPr>
        <w:pStyle w:val="Default"/>
        <w:numPr>
          <w:ilvl w:val="0"/>
          <w:numId w:val="3"/>
        </w:numPr>
        <w:rPr>
          <w:rFonts w:ascii="Calibri" w:hAnsi="Calibri" w:cs="Calibri"/>
          <w:sz w:val="22"/>
          <w:szCs w:val="22"/>
        </w:rPr>
      </w:pPr>
      <w:r w:rsidRPr="00692646">
        <w:rPr>
          <w:rFonts w:ascii="Calibri" w:hAnsi="Calibri" w:cs="Calibri"/>
          <w:sz w:val="22"/>
          <w:szCs w:val="22"/>
        </w:rPr>
        <w:t>Confirmation that every candidate has recent safeguarding training.  In the absence of this, Moore Teachers provides an accredited training course.</w:t>
      </w:r>
    </w:p>
    <w:p w14:paraId="1848233A" w14:textId="77777777" w:rsidR="00986C10" w:rsidRPr="00692646" w:rsidRDefault="00986C10" w:rsidP="00986C10">
      <w:pPr>
        <w:pStyle w:val="Default"/>
        <w:numPr>
          <w:ilvl w:val="0"/>
          <w:numId w:val="3"/>
        </w:numPr>
        <w:rPr>
          <w:rFonts w:ascii="Calibri" w:hAnsi="Calibri" w:cs="Calibri"/>
          <w:sz w:val="22"/>
          <w:szCs w:val="22"/>
        </w:rPr>
      </w:pPr>
      <w:r w:rsidRPr="00692646">
        <w:rPr>
          <w:rFonts w:ascii="Calibri" w:hAnsi="Calibri" w:cs="Calibri"/>
          <w:sz w:val="22"/>
          <w:szCs w:val="22"/>
        </w:rPr>
        <w:t>Confirmation that every candidate is fluent in English, enough to carry out their duties</w:t>
      </w:r>
    </w:p>
    <w:p w14:paraId="227C1BB3" w14:textId="77777777" w:rsidR="00986C10" w:rsidRPr="00692646" w:rsidRDefault="00986C10" w:rsidP="00986C10">
      <w:pPr>
        <w:pStyle w:val="Default"/>
        <w:rPr>
          <w:rFonts w:ascii="Calibri" w:hAnsi="Calibri" w:cs="Calibri"/>
          <w:sz w:val="22"/>
          <w:szCs w:val="22"/>
        </w:rPr>
      </w:pPr>
    </w:p>
    <w:p w14:paraId="0E3F5B47" w14:textId="77777777" w:rsidR="00986C10" w:rsidRPr="00DA4E70" w:rsidRDefault="00986C10" w:rsidP="00986C10">
      <w:pPr>
        <w:pStyle w:val="Default"/>
        <w:rPr>
          <w:rFonts w:ascii="Calibri" w:hAnsi="Calibri" w:cs="Calibri"/>
          <w:b/>
          <w:bCs/>
          <w:sz w:val="22"/>
          <w:szCs w:val="22"/>
        </w:rPr>
      </w:pPr>
      <w:r w:rsidRPr="00DA4E70">
        <w:rPr>
          <w:rFonts w:ascii="Calibri" w:hAnsi="Calibri" w:cs="Calibri"/>
          <w:b/>
          <w:bCs/>
          <w:sz w:val="22"/>
          <w:szCs w:val="22"/>
        </w:rPr>
        <w:t xml:space="preserve">A record is stored to show that the above checks have been carried out.  </w:t>
      </w:r>
    </w:p>
    <w:p w14:paraId="2F9D5D94" w14:textId="7FA8D8F4" w:rsidR="00986C10" w:rsidRPr="00DA4E70" w:rsidRDefault="00986C10" w:rsidP="00986C10">
      <w:pPr>
        <w:pStyle w:val="Default"/>
        <w:rPr>
          <w:rFonts w:ascii="Calibri" w:hAnsi="Calibri" w:cs="Calibri"/>
          <w:b/>
          <w:bCs/>
          <w:sz w:val="22"/>
          <w:szCs w:val="22"/>
        </w:rPr>
      </w:pPr>
      <w:r w:rsidRPr="00DA4E70">
        <w:rPr>
          <w:rFonts w:ascii="Calibri" w:hAnsi="Calibri" w:cs="Calibri"/>
          <w:b/>
          <w:bCs/>
          <w:sz w:val="22"/>
          <w:szCs w:val="22"/>
        </w:rPr>
        <w:t xml:space="preserve">Our email booking confirmation </w:t>
      </w:r>
      <w:r w:rsidR="00EA730A">
        <w:rPr>
          <w:rFonts w:ascii="Calibri" w:hAnsi="Calibri" w:cs="Calibri"/>
          <w:b/>
          <w:bCs/>
          <w:sz w:val="22"/>
          <w:szCs w:val="22"/>
        </w:rPr>
        <w:t xml:space="preserve">and clearance information is </w:t>
      </w:r>
      <w:r w:rsidRPr="00DA4E70">
        <w:rPr>
          <w:rFonts w:ascii="Calibri" w:hAnsi="Calibri" w:cs="Calibri"/>
          <w:b/>
          <w:bCs/>
          <w:sz w:val="22"/>
          <w:szCs w:val="22"/>
        </w:rPr>
        <w:t xml:space="preserve">sent to all clients </w:t>
      </w:r>
      <w:r w:rsidR="00EA730A">
        <w:rPr>
          <w:rFonts w:ascii="Calibri" w:hAnsi="Calibri" w:cs="Calibri"/>
          <w:b/>
          <w:bCs/>
          <w:sz w:val="22"/>
          <w:szCs w:val="22"/>
        </w:rPr>
        <w:t xml:space="preserve">and </w:t>
      </w:r>
      <w:r w:rsidRPr="00DA4E70">
        <w:rPr>
          <w:rFonts w:ascii="Calibri" w:hAnsi="Calibri" w:cs="Calibri"/>
          <w:b/>
          <w:bCs/>
          <w:sz w:val="22"/>
          <w:szCs w:val="22"/>
        </w:rPr>
        <w:t xml:space="preserve">contains all the information </w:t>
      </w:r>
      <w:r w:rsidR="00EA730A">
        <w:rPr>
          <w:rFonts w:ascii="Calibri" w:hAnsi="Calibri" w:cs="Calibri"/>
          <w:b/>
          <w:bCs/>
          <w:sz w:val="22"/>
          <w:szCs w:val="22"/>
        </w:rPr>
        <w:t>needed</w:t>
      </w:r>
      <w:r w:rsidRPr="00DA4E70">
        <w:rPr>
          <w:rFonts w:ascii="Calibri" w:hAnsi="Calibri" w:cs="Calibri"/>
          <w:b/>
          <w:bCs/>
          <w:sz w:val="22"/>
          <w:szCs w:val="22"/>
        </w:rPr>
        <w:t xml:space="preserve"> for </w:t>
      </w:r>
      <w:r w:rsidR="00EA730A">
        <w:rPr>
          <w:rFonts w:ascii="Calibri" w:hAnsi="Calibri" w:cs="Calibri"/>
          <w:b/>
          <w:bCs/>
          <w:sz w:val="22"/>
          <w:szCs w:val="22"/>
        </w:rPr>
        <w:t>the</w:t>
      </w:r>
      <w:r w:rsidRPr="00DA4E70">
        <w:rPr>
          <w:rFonts w:ascii="Calibri" w:hAnsi="Calibri" w:cs="Calibri"/>
          <w:b/>
          <w:bCs/>
          <w:sz w:val="22"/>
          <w:szCs w:val="22"/>
        </w:rPr>
        <w:t xml:space="preserve"> SCR.</w:t>
      </w:r>
    </w:p>
    <w:p w14:paraId="431BC5BD" w14:textId="723B8555" w:rsidR="00986C10" w:rsidRPr="00692646" w:rsidRDefault="00535D12" w:rsidP="00535D12">
      <w:pPr>
        <w:tabs>
          <w:tab w:val="left" w:pos="2745"/>
        </w:tabs>
        <w:adjustRightInd w:val="0"/>
        <w:rPr>
          <w:rFonts w:ascii="Calibri" w:hAnsi="Calibri" w:cs="Calibri"/>
          <w:color w:val="000000"/>
        </w:rPr>
      </w:pPr>
      <w:r>
        <w:rPr>
          <w:rFonts w:ascii="Calibri" w:hAnsi="Calibri" w:cs="Calibri"/>
          <w:color w:val="000000"/>
        </w:rPr>
        <w:tab/>
      </w:r>
    </w:p>
    <w:p w14:paraId="00CE80FD" w14:textId="77777777" w:rsidR="00986C10" w:rsidRPr="00692646" w:rsidRDefault="00986C10" w:rsidP="00986C10">
      <w:pPr>
        <w:adjustRightInd w:val="0"/>
        <w:rPr>
          <w:rFonts w:ascii="Calibri" w:hAnsi="Calibri" w:cs="Calibri"/>
          <w:b/>
          <w:color w:val="461E64"/>
        </w:rPr>
      </w:pPr>
      <w:r w:rsidRPr="00692646">
        <w:rPr>
          <w:rFonts w:ascii="Calibri" w:hAnsi="Calibri" w:cs="Calibri"/>
          <w:b/>
          <w:color w:val="461E64"/>
        </w:rPr>
        <w:t>Duty of Care</w:t>
      </w:r>
    </w:p>
    <w:p w14:paraId="0D372D46" w14:textId="77777777" w:rsidR="00986C10" w:rsidRPr="00692646" w:rsidRDefault="00986C10" w:rsidP="00986C10">
      <w:pPr>
        <w:adjustRightInd w:val="0"/>
        <w:rPr>
          <w:rFonts w:ascii="Calibri" w:hAnsi="Calibri" w:cs="Calibri"/>
        </w:rPr>
      </w:pPr>
      <w:r w:rsidRPr="00692646">
        <w:rPr>
          <w:rFonts w:ascii="Calibri" w:hAnsi="Calibri" w:cs="Calibri"/>
        </w:rPr>
        <w:t xml:space="preserve">All staff have a duty to keep young people safe and to protect them from sexual, </w:t>
      </w:r>
      <w:proofErr w:type="gramStart"/>
      <w:r w:rsidRPr="00692646">
        <w:rPr>
          <w:rFonts w:ascii="Calibri" w:hAnsi="Calibri" w:cs="Calibri"/>
        </w:rPr>
        <w:t>physical</w:t>
      </w:r>
      <w:proofErr w:type="gramEnd"/>
      <w:r w:rsidRPr="00692646">
        <w:rPr>
          <w:rFonts w:ascii="Calibri" w:hAnsi="Calibri" w:cs="Calibri"/>
        </w:rPr>
        <w:t xml:space="preserve"> and emotional harm. Children have a right to be safe and to be treated with respect and dignity. All agency staff are expected to take reasonable steps to ensure the safety and well-being of pupils. Failure to do so may be</w:t>
      </w:r>
    </w:p>
    <w:p w14:paraId="18D09539" w14:textId="77777777" w:rsidR="00986C10" w:rsidRPr="00692646" w:rsidRDefault="00986C10" w:rsidP="00986C10">
      <w:pPr>
        <w:adjustRightInd w:val="0"/>
        <w:rPr>
          <w:rFonts w:ascii="Calibri" w:hAnsi="Calibri" w:cs="Calibri"/>
        </w:rPr>
      </w:pPr>
      <w:r w:rsidRPr="00692646">
        <w:rPr>
          <w:rFonts w:ascii="Calibri" w:hAnsi="Calibri" w:cs="Calibri"/>
        </w:rPr>
        <w:t>regarded as professional neglect.</w:t>
      </w:r>
    </w:p>
    <w:p w14:paraId="14F972EE" w14:textId="77777777" w:rsidR="00986C10" w:rsidRPr="00692646" w:rsidRDefault="00986C10" w:rsidP="00986C10">
      <w:pPr>
        <w:adjustRightInd w:val="0"/>
        <w:rPr>
          <w:rFonts w:ascii="Calibri" w:hAnsi="Calibri" w:cs="Calibri"/>
          <w:b/>
          <w:color w:val="000000"/>
        </w:rPr>
      </w:pPr>
    </w:p>
    <w:p w14:paraId="40BACDAB" w14:textId="77777777" w:rsidR="00986C10" w:rsidRPr="00692646" w:rsidRDefault="00986C10" w:rsidP="00986C10">
      <w:pPr>
        <w:adjustRightInd w:val="0"/>
        <w:rPr>
          <w:rFonts w:ascii="Calibri" w:hAnsi="Calibri" w:cs="Calibri"/>
          <w:iCs/>
        </w:rPr>
      </w:pPr>
      <w:r w:rsidRPr="00692646">
        <w:rPr>
          <w:rFonts w:ascii="Calibri" w:hAnsi="Calibri" w:cs="Calibri"/>
          <w:iCs/>
        </w:rPr>
        <w:t>Moore Teachers recognises its duty of care to all supply staff and abides by a culture of openness and support.  We ensure that all staff are aware of our expectations, policies and procedures with regards safeguarding and child protection issues.  During the registration interview all candidates are:</w:t>
      </w:r>
    </w:p>
    <w:p w14:paraId="5970F9F7" w14:textId="77777777" w:rsidR="00986C10" w:rsidRPr="00692646" w:rsidRDefault="00986C10" w:rsidP="00986C10">
      <w:pPr>
        <w:widowControl/>
        <w:numPr>
          <w:ilvl w:val="0"/>
          <w:numId w:val="4"/>
        </w:numPr>
        <w:adjustRightInd w:val="0"/>
        <w:rPr>
          <w:rFonts w:ascii="Calibri" w:hAnsi="Calibri" w:cs="Calibri"/>
          <w:color w:val="000000"/>
        </w:rPr>
      </w:pPr>
      <w:r w:rsidRPr="00692646">
        <w:rPr>
          <w:rFonts w:ascii="Calibri" w:hAnsi="Calibri" w:cs="Calibri"/>
          <w:color w:val="000000"/>
        </w:rPr>
        <w:t>required to agree to our specific Child Protection Policy</w:t>
      </w:r>
    </w:p>
    <w:p w14:paraId="5E325CFC" w14:textId="77777777" w:rsidR="00986C10" w:rsidRPr="00692646" w:rsidRDefault="00986C10" w:rsidP="00986C10">
      <w:pPr>
        <w:widowControl/>
        <w:numPr>
          <w:ilvl w:val="0"/>
          <w:numId w:val="4"/>
        </w:numPr>
        <w:adjustRightInd w:val="0"/>
        <w:rPr>
          <w:rFonts w:ascii="Calibri" w:hAnsi="Calibri" w:cs="Calibri"/>
          <w:color w:val="000000"/>
        </w:rPr>
      </w:pPr>
      <w:r w:rsidRPr="00692646">
        <w:rPr>
          <w:rFonts w:ascii="Calibri" w:hAnsi="Calibri" w:cs="Calibri"/>
          <w:color w:val="000000"/>
        </w:rPr>
        <w:t>provided with clear written guidelines in our "Safeguarding Children" document</w:t>
      </w:r>
    </w:p>
    <w:p w14:paraId="4D260ABC" w14:textId="77777777" w:rsidR="00986C10" w:rsidRPr="00692646" w:rsidRDefault="00986C10" w:rsidP="00986C10">
      <w:pPr>
        <w:widowControl/>
        <w:numPr>
          <w:ilvl w:val="0"/>
          <w:numId w:val="4"/>
        </w:numPr>
        <w:adjustRightInd w:val="0"/>
        <w:rPr>
          <w:rFonts w:ascii="Calibri" w:hAnsi="Calibri" w:cs="Calibri"/>
          <w:color w:val="000000"/>
        </w:rPr>
      </w:pPr>
      <w:r w:rsidRPr="00692646">
        <w:rPr>
          <w:rFonts w:ascii="Calibri" w:hAnsi="Calibri" w:cs="Calibri"/>
          <w:color w:val="000000"/>
        </w:rPr>
        <w:t>asked to undertake an accredited course ‘An Introduction to Safeguarding Children’, should their safeguarding training not be up to date.</w:t>
      </w:r>
    </w:p>
    <w:p w14:paraId="4776AA4F" w14:textId="77777777" w:rsidR="00986C10" w:rsidRPr="00692646" w:rsidRDefault="00986C10" w:rsidP="00986C10">
      <w:pPr>
        <w:adjustRightInd w:val="0"/>
        <w:ind w:left="720"/>
        <w:rPr>
          <w:rFonts w:ascii="Calibri" w:hAnsi="Calibri" w:cs="Calibri"/>
          <w:color w:val="000000"/>
        </w:rPr>
      </w:pPr>
    </w:p>
    <w:p w14:paraId="2E7074A3" w14:textId="77777777" w:rsidR="00986C10" w:rsidRPr="00692646" w:rsidRDefault="00986C10" w:rsidP="00986C10">
      <w:pPr>
        <w:adjustRightInd w:val="0"/>
        <w:rPr>
          <w:rFonts w:ascii="Calibri" w:hAnsi="Calibri" w:cs="Calibri"/>
          <w:b/>
          <w:bCs/>
          <w:color w:val="461E64"/>
        </w:rPr>
      </w:pPr>
      <w:r w:rsidRPr="00692646">
        <w:rPr>
          <w:rFonts w:ascii="Calibri" w:hAnsi="Calibri" w:cs="Calibri"/>
          <w:b/>
          <w:bCs/>
          <w:color w:val="461E64"/>
        </w:rPr>
        <w:t>Dealing with Concerns/Allegations</w:t>
      </w:r>
    </w:p>
    <w:p w14:paraId="0757F22B" w14:textId="77777777" w:rsidR="00986C10" w:rsidRPr="00DA4E70" w:rsidRDefault="00986C10" w:rsidP="00986C10">
      <w:pPr>
        <w:adjustRightInd w:val="0"/>
        <w:rPr>
          <w:rFonts w:ascii="Calibri" w:hAnsi="Calibri" w:cs="Calibri"/>
          <w:b/>
          <w:bCs/>
          <w:iCs/>
          <w:color w:val="461E64"/>
        </w:rPr>
      </w:pPr>
      <w:r w:rsidRPr="00DA4E70">
        <w:rPr>
          <w:rFonts w:ascii="Calibri" w:hAnsi="Calibri" w:cs="Calibri"/>
          <w:b/>
          <w:bCs/>
          <w:iCs/>
          <w:color w:val="461E64"/>
        </w:rPr>
        <w:t>Safeguarding and Child Protection</w:t>
      </w:r>
    </w:p>
    <w:p w14:paraId="53F20DF9" w14:textId="77777777" w:rsidR="00986C10" w:rsidRPr="00692646" w:rsidRDefault="00986C10" w:rsidP="00986C10">
      <w:pPr>
        <w:adjustRightInd w:val="0"/>
        <w:rPr>
          <w:rFonts w:ascii="Calibri" w:hAnsi="Calibri" w:cs="Calibri"/>
          <w:color w:val="000000"/>
        </w:rPr>
      </w:pPr>
      <w:r w:rsidRPr="00692646">
        <w:rPr>
          <w:rFonts w:ascii="Calibri" w:hAnsi="Calibri" w:cs="Calibri"/>
          <w:bCs/>
          <w:color w:val="000000"/>
        </w:rPr>
        <w:t xml:space="preserve">As part of our duty of care to supply staff, Moore Teachers will </w:t>
      </w:r>
      <w:r w:rsidRPr="00692646">
        <w:rPr>
          <w:rFonts w:ascii="Calibri" w:hAnsi="Calibri" w:cs="Calibri"/>
          <w:color w:val="000000"/>
        </w:rPr>
        <w:t xml:space="preserve">ensure that any allegation of abuse made against its worker in an education setting is dealt with fairly, quickly, and consistently, in a way that provides effective protection for the child, and at the same time supports the person who is subject to the allegation. </w:t>
      </w:r>
    </w:p>
    <w:p w14:paraId="080EE5B3" w14:textId="77777777" w:rsidR="00986C10" w:rsidRPr="00692646" w:rsidRDefault="00986C10" w:rsidP="00986C10">
      <w:pPr>
        <w:adjustRightInd w:val="0"/>
        <w:rPr>
          <w:rFonts w:ascii="Calibri" w:hAnsi="Calibri" w:cs="Calibri"/>
          <w:color w:val="000000"/>
        </w:rPr>
      </w:pPr>
    </w:p>
    <w:p w14:paraId="3E8EA825" w14:textId="77777777" w:rsidR="00986C10" w:rsidRPr="00692646" w:rsidRDefault="00986C10" w:rsidP="00986C10">
      <w:pPr>
        <w:adjustRightInd w:val="0"/>
        <w:rPr>
          <w:rFonts w:ascii="Calibri" w:hAnsi="Calibri" w:cs="Calibri"/>
          <w:bCs/>
          <w:color w:val="000000"/>
        </w:rPr>
      </w:pPr>
      <w:r w:rsidRPr="00692646">
        <w:rPr>
          <w:rFonts w:ascii="Calibri" w:hAnsi="Calibri" w:cs="Calibri"/>
          <w:color w:val="000000"/>
        </w:rPr>
        <w:t xml:space="preserve">We require our supply staff to: </w:t>
      </w:r>
    </w:p>
    <w:p w14:paraId="01D55C0D" w14:textId="5026C4EC" w:rsidR="00986C10" w:rsidRPr="00DA4E70" w:rsidRDefault="00986C10" w:rsidP="00DA4E70">
      <w:pPr>
        <w:pStyle w:val="ListParagraph"/>
        <w:numPr>
          <w:ilvl w:val="0"/>
          <w:numId w:val="6"/>
        </w:numPr>
        <w:rPr>
          <w:rFonts w:asciiTheme="minorHAnsi" w:hAnsiTheme="minorHAnsi" w:cstheme="minorHAnsi"/>
        </w:rPr>
      </w:pPr>
      <w:r w:rsidRPr="00DA4E70">
        <w:rPr>
          <w:rFonts w:asciiTheme="minorHAnsi" w:hAnsiTheme="minorHAnsi" w:cstheme="minorHAnsi"/>
        </w:rPr>
        <w:t xml:space="preserve">immediately report the allegation to the Manager of Moore Teachers </w:t>
      </w:r>
    </w:p>
    <w:p w14:paraId="71391292" w14:textId="2DF92158" w:rsidR="00986C10" w:rsidRPr="00DA4E70" w:rsidRDefault="00986C10" w:rsidP="00DA4E70">
      <w:pPr>
        <w:pStyle w:val="ListParagraph"/>
        <w:numPr>
          <w:ilvl w:val="0"/>
          <w:numId w:val="6"/>
        </w:numPr>
        <w:rPr>
          <w:rFonts w:asciiTheme="minorHAnsi" w:hAnsiTheme="minorHAnsi" w:cstheme="minorHAnsi"/>
        </w:rPr>
      </w:pPr>
      <w:r w:rsidRPr="00DA4E70">
        <w:rPr>
          <w:rFonts w:asciiTheme="minorHAnsi" w:hAnsiTheme="minorHAnsi" w:cstheme="minorHAnsi"/>
        </w:rPr>
        <w:t xml:space="preserve">immediately arrange to meet with the Branch Manager to discuss the allegation, and to prepare a written statement which provides his / her account of the situation in which the allegation was made. </w:t>
      </w:r>
    </w:p>
    <w:p w14:paraId="358A5F8E" w14:textId="77777777" w:rsidR="00986C10" w:rsidRPr="00DA4E70" w:rsidRDefault="00986C10" w:rsidP="00DA4E70">
      <w:pPr>
        <w:rPr>
          <w:rFonts w:asciiTheme="minorHAnsi" w:hAnsiTheme="minorHAnsi" w:cstheme="minorHAnsi"/>
        </w:rPr>
      </w:pPr>
    </w:p>
    <w:p w14:paraId="1880A660" w14:textId="77777777" w:rsidR="00986C10" w:rsidRPr="00692646" w:rsidRDefault="00986C10" w:rsidP="00986C10">
      <w:pPr>
        <w:adjustRightInd w:val="0"/>
        <w:rPr>
          <w:rFonts w:ascii="Calibri" w:hAnsi="Calibri" w:cs="Calibri"/>
          <w:color w:val="000000"/>
        </w:rPr>
      </w:pPr>
      <w:r w:rsidRPr="00692646">
        <w:rPr>
          <w:rFonts w:ascii="Calibri" w:hAnsi="Calibri" w:cs="Calibri"/>
          <w:color w:val="000000"/>
        </w:rPr>
        <w:t xml:space="preserve">All workers are advised that during the investigation of an allegation, they will not be placed into a school or education setting until the allegation has been satisfactorily resolved. </w:t>
      </w:r>
    </w:p>
    <w:p w14:paraId="1A7B77E9" w14:textId="77777777" w:rsidR="00986C10" w:rsidRPr="00692646" w:rsidRDefault="00986C10" w:rsidP="00986C10">
      <w:pPr>
        <w:adjustRightInd w:val="0"/>
        <w:rPr>
          <w:rFonts w:ascii="Calibri" w:hAnsi="Calibri" w:cs="Calibri"/>
          <w:color w:val="000000"/>
        </w:rPr>
      </w:pPr>
    </w:p>
    <w:p w14:paraId="0DB3E09E" w14:textId="77777777" w:rsidR="00986C10" w:rsidRPr="00692646" w:rsidRDefault="00986C10" w:rsidP="00986C10">
      <w:pPr>
        <w:adjustRightInd w:val="0"/>
        <w:rPr>
          <w:rFonts w:ascii="Calibri" w:hAnsi="Calibri" w:cs="Calibri"/>
          <w:color w:val="000000"/>
        </w:rPr>
      </w:pPr>
      <w:r w:rsidRPr="00692646">
        <w:rPr>
          <w:rFonts w:ascii="Calibri" w:hAnsi="Calibri" w:cs="Calibri"/>
          <w:color w:val="000000"/>
        </w:rPr>
        <w:t xml:space="preserve">Moore Teachers will keep workers informed of the progress of the case and will consider what other support is appropriate for the individual. </w:t>
      </w:r>
    </w:p>
    <w:p w14:paraId="48BCBF00" w14:textId="77777777" w:rsidR="00986C10" w:rsidRPr="00692646" w:rsidRDefault="00986C10" w:rsidP="00986C10">
      <w:pPr>
        <w:adjustRightInd w:val="0"/>
        <w:rPr>
          <w:rFonts w:ascii="Calibri" w:hAnsi="Calibri" w:cs="Calibri"/>
          <w:color w:val="000000"/>
        </w:rPr>
      </w:pPr>
    </w:p>
    <w:p w14:paraId="36129D8D" w14:textId="77777777" w:rsidR="00535D12" w:rsidRPr="00535D12" w:rsidRDefault="00986C10" w:rsidP="00535D12">
      <w:pPr>
        <w:adjustRightInd w:val="0"/>
        <w:rPr>
          <w:rFonts w:asciiTheme="minorHAnsi" w:hAnsiTheme="minorHAnsi" w:cstheme="minorHAnsi"/>
          <w:color w:val="000000"/>
        </w:rPr>
      </w:pPr>
      <w:r w:rsidRPr="00692646">
        <w:rPr>
          <w:rFonts w:ascii="Calibri" w:hAnsi="Calibri" w:cs="Calibri"/>
          <w:color w:val="000000"/>
        </w:rPr>
        <w:t xml:space="preserve">Moore Teachers will work closely with all parties involved, including the school, Local Authority Designated Officer, Social Services and Police. </w:t>
      </w:r>
      <w:r w:rsidR="00535D12" w:rsidRPr="00535D12">
        <w:rPr>
          <w:rFonts w:asciiTheme="minorHAnsi" w:hAnsiTheme="minorHAnsi" w:cstheme="minorHAnsi"/>
          <w:color w:val="000000"/>
        </w:rPr>
        <w:t xml:space="preserve">Schools also hold a responsibility to fully explore concerns about any supply staff.   Moore Teachers will act on any requirements put in place during the process, whether to support the candidate's return to work, or referral to the DBS and / or The </w:t>
      </w:r>
      <w:proofErr w:type="gramStart"/>
      <w:r w:rsidR="00535D12" w:rsidRPr="00535D12">
        <w:rPr>
          <w:rFonts w:asciiTheme="minorHAnsi" w:hAnsiTheme="minorHAnsi" w:cstheme="minorHAnsi"/>
          <w:color w:val="000000"/>
        </w:rPr>
        <w:t>TRA</w:t>
      </w:r>
      <w:proofErr w:type="gramEnd"/>
    </w:p>
    <w:p w14:paraId="0BF84649" w14:textId="0332FAA0" w:rsidR="00986C10" w:rsidRPr="00692646" w:rsidRDefault="00986C10" w:rsidP="00986C10">
      <w:pPr>
        <w:adjustRightInd w:val="0"/>
        <w:rPr>
          <w:rFonts w:ascii="Calibri" w:hAnsi="Calibri" w:cs="Calibri"/>
          <w:color w:val="000000"/>
        </w:rPr>
      </w:pPr>
    </w:p>
    <w:p w14:paraId="4EAD057B" w14:textId="77777777" w:rsidR="00986C10" w:rsidRPr="00692646" w:rsidRDefault="00986C10" w:rsidP="00986C10">
      <w:pPr>
        <w:adjustRightInd w:val="0"/>
        <w:rPr>
          <w:rFonts w:ascii="Calibri" w:hAnsi="Calibri" w:cs="Calibri"/>
          <w:color w:val="000000"/>
        </w:rPr>
      </w:pPr>
      <w:r w:rsidRPr="00692646">
        <w:rPr>
          <w:rFonts w:ascii="Calibri" w:hAnsi="Calibri" w:cs="Calibri"/>
          <w:color w:val="000000"/>
        </w:rPr>
        <w:t xml:space="preserve"> </w:t>
      </w:r>
    </w:p>
    <w:p w14:paraId="5A52DD59" w14:textId="77777777" w:rsidR="00986C10" w:rsidRPr="00DA4E70" w:rsidRDefault="00986C10" w:rsidP="00986C10">
      <w:pPr>
        <w:rPr>
          <w:rFonts w:ascii="Calibri" w:hAnsi="Calibri" w:cs="Calibri"/>
          <w:b/>
          <w:iCs/>
          <w:color w:val="461E64"/>
        </w:rPr>
      </w:pPr>
      <w:r w:rsidRPr="00DA4E70">
        <w:rPr>
          <w:rFonts w:ascii="Calibri" w:hAnsi="Calibri" w:cs="Calibri"/>
          <w:b/>
          <w:iCs/>
          <w:color w:val="461E64"/>
        </w:rPr>
        <w:t>Professional Misconduct</w:t>
      </w:r>
    </w:p>
    <w:p w14:paraId="38027BB8" w14:textId="77777777" w:rsidR="00986C10" w:rsidRPr="00692646" w:rsidRDefault="00986C10" w:rsidP="00986C10">
      <w:pPr>
        <w:rPr>
          <w:rFonts w:ascii="Calibri" w:hAnsi="Calibri" w:cs="Calibri"/>
          <w:color w:val="000000"/>
        </w:rPr>
      </w:pPr>
      <w:r w:rsidRPr="00692646">
        <w:rPr>
          <w:rFonts w:ascii="Calibri" w:hAnsi="Calibri" w:cs="Calibri"/>
          <w:color w:val="000000"/>
        </w:rPr>
        <w:t>Instances of misconduct or gross misconduct should be reported promptly to Tina Moore.  Our Disciplinary Procedures for Misconduct details the steps taken to resolve all instances of misconduct in a timely and fair manner.</w:t>
      </w:r>
    </w:p>
    <w:p w14:paraId="52511A42" w14:textId="77777777" w:rsidR="00986C10" w:rsidRPr="00692646" w:rsidRDefault="00986C10" w:rsidP="00986C10">
      <w:pPr>
        <w:rPr>
          <w:rFonts w:ascii="Calibri" w:hAnsi="Calibri" w:cs="Calibri"/>
          <w:color w:val="000000"/>
        </w:rPr>
      </w:pPr>
    </w:p>
    <w:bookmarkEnd w:id="0"/>
    <w:p w14:paraId="0C693CB5" w14:textId="77777777" w:rsidR="00986C10" w:rsidRPr="00692646" w:rsidRDefault="00986C10" w:rsidP="00986C10">
      <w:pPr>
        <w:rPr>
          <w:rFonts w:ascii="Calibri" w:hAnsi="Calibri" w:cs="Calibri"/>
          <w:color w:val="000000"/>
        </w:rPr>
      </w:pPr>
    </w:p>
    <w:p w14:paraId="438B5DA4" w14:textId="77777777" w:rsidR="00986C10" w:rsidRPr="00C04981" w:rsidRDefault="00986C10" w:rsidP="00831404">
      <w:pPr>
        <w:rPr>
          <w:rFonts w:asciiTheme="minorHAnsi" w:hAnsiTheme="minorHAnsi" w:cstheme="minorHAnsi"/>
        </w:rPr>
      </w:pPr>
    </w:p>
    <w:sectPr w:rsidR="00986C10" w:rsidRPr="00C04981" w:rsidSect="00831404">
      <w:footerReference w:type="default" r:id="rId45"/>
      <w:type w:val="continuous"/>
      <w:pgSz w:w="11900" w:h="16840"/>
      <w:pgMar w:top="1134" w:right="720" w:bottom="1418" w:left="720" w:header="720" w:footer="10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4355D" w14:textId="77777777" w:rsidR="00000EAE" w:rsidRDefault="00000EAE" w:rsidP="00831404">
      <w:r>
        <w:separator/>
      </w:r>
    </w:p>
  </w:endnote>
  <w:endnote w:type="continuationSeparator" w:id="0">
    <w:p w14:paraId="66237509" w14:textId="77777777" w:rsidR="00000EAE" w:rsidRDefault="00000EAE" w:rsidP="0083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F03A9" w14:textId="5FC5C42A" w:rsidR="00831404" w:rsidRDefault="00B4425B">
    <w:pPr>
      <w:pStyle w:val="Footer"/>
    </w:pPr>
    <w:r>
      <w:rPr>
        <w:rFonts w:asciiTheme="minorHAnsi" w:hAnsiTheme="minorHAnsi" w:cstheme="minorHAnsi"/>
      </w:rPr>
      <w:t>Reviewed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5C4D6" w14:textId="77777777" w:rsidR="00000EAE" w:rsidRDefault="00000EAE" w:rsidP="00831404">
      <w:r>
        <w:separator/>
      </w:r>
    </w:p>
  </w:footnote>
  <w:footnote w:type="continuationSeparator" w:id="0">
    <w:p w14:paraId="5B480658" w14:textId="77777777" w:rsidR="00000EAE" w:rsidRDefault="00000EAE" w:rsidP="00831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F681C"/>
    <w:multiLevelType w:val="hybridMultilevel"/>
    <w:tmpl w:val="F76EEF5C"/>
    <w:lvl w:ilvl="0" w:tplc="CCF68DB8">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2169DD"/>
    <w:multiLevelType w:val="hybridMultilevel"/>
    <w:tmpl w:val="08448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1544FA"/>
    <w:multiLevelType w:val="hybridMultilevel"/>
    <w:tmpl w:val="655C0EFA"/>
    <w:lvl w:ilvl="0" w:tplc="CCF68DB8">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2C0BA6"/>
    <w:multiLevelType w:val="hybridMultilevel"/>
    <w:tmpl w:val="3C0E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5C6C6F"/>
    <w:multiLevelType w:val="hybridMultilevel"/>
    <w:tmpl w:val="E6922C3C"/>
    <w:lvl w:ilvl="0" w:tplc="DFB83B5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C35E02"/>
    <w:multiLevelType w:val="hybridMultilevel"/>
    <w:tmpl w:val="8A0EAFEC"/>
    <w:lvl w:ilvl="0" w:tplc="08090001">
      <w:start w:val="1"/>
      <w:numFmt w:val="bullet"/>
      <w:lvlText w:val=""/>
      <w:lvlJc w:val="left"/>
      <w:pPr>
        <w:tabs>
          <w:tab w:val="num" w:pos="720"/>
        </w:tabs>
        <w:ind w:left="720" w:hanging="360"/>
      </w:pPr>
      <w:rPr>
        <w:rFonts w:ascii="Symbol" w:hAnsi="Symbo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F3663"/>
    <w:rsid w:val="00000EAE"/>
    <w:rsid w:val="00056CF2"/>
    <w:rsid w:val="00165151"/>
    <w:rsid w:val="002008F0"/>
    <w:rsid w:val="002057B6"/>
    <w:rsid w:val="002B79CD"/>
    <w:rsid w:val="002F6F24"/>
    <w:rsid w:val="00401699"/>
    <w:rsid w:val="004A586D"/>
    <w:rsid w:val="00521232"/>
    <w:rsid w:val="00535D12"/>
    <w:rsid w:val="007F3663"/>
    <w:rsid w:val="00831404"/>
    <w:rsid w:val="008E1A54"/>
    <w:rsid w:val="00983F00"/>
    <w:rsid w:val="00986C10"/>
    <w:rsid w:val="00AE643A"/>
    <w:rsid w:val="00AE7506"/>
    <w:rsid w:val="00B4425B"/>
    <w:rsid w:val="00B968D6"/>
    <w:rsid w:val="00C04981"/>
    <w:rsid w:val="00DA4E70"/>
    <w:rsid w:val="00EA7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655F8"/>
  <w15:docId w15:val="{832B890E-3CB3-40A2-9026-C8801480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831404"/>
    <w:pPr>
      <w:widowControl/>
      <w:adjustRightInd w:val="0"/>
    </w:pPr>
    <w:rPr>
      <w:rFonts w:ascii="AvantGarde Medium" w:eastAsia="Times New Roman" w:hAnsi="AvantGarde Medium" w:cs="AvantGarde Medium"/>
      <w:color w:val="000000"/>
      <w:sz w:val="24"/>
      <w:szCs w:val="24"/>
      <w:lang w:val="en-GB" w:eastAsia="en-GB"/>
    </w:rPr>
  </w:style>
  <w:style w:type="paragraph" w:styleId="Header">
    <w:name w:val="header"/>
    <w:basedOn w:val="Normal"/>
    <w:link w:val="HeaderChar"/>
    <w:uiPriority w:val="99"/>
    <w:unhideWhenUsed/>
    <w:rsid w:val="00831404"/>
    <w:pPr>
      <w:tabs>
        <w:tab w:val="center" w:pos="4513"/>
        <w:tab w:val="right" w:pos="9026"/>
      </w:tabs>
    </w:pPr>
  </w:style>
  <w:style w:type="character" w:customStyle="1" w:styleId="HeaderChar">
    <w:name w:val="Header Char"/>
    <w:basedOn w:val="DefaultParagraphFont"/>
    <w:link w:val="Header"/>
    <w:uiPriority w:val="99"/>
    <w:rsid w:val="00831404"/>
    <w:rPr>
      <w:rFonts w:ascii="Times New Roman" w:eastAsia="Times New Roman" w:hAnsi="Times New Roman" w:cs="Times New Roman"/>
    </w:rPr>
  </w:style>
  <w:style w:type="paragraph" w:styleId="Footer">
    <w:name w:val="footer"/>
    <w:basedOn w:val="Normal"/>
    <w:link w:val="FooterChar"/>
    <w:uiPriority w:val="99"/>
    <w:unhideWhenUsed/>
    <w:rsid w:val="00831404"/>
    <w:pPr>
      <w:tabs>
        <w:tab w:val="center" w:pos="4513"/>
        <w:tab w:val="right" w:pos="9026"/>
      </w:tabs>
    </w:pPr>
  </w:style>
  <w:style w:type="character" w:customStyle="1" w:styleId="FooterChar">
    <w:name w:val="Footer Char"/>
    <w:basedOn w:val="DefaultParagraphFont"/>
    <w:link w:val="Footer"/>
    <w:uiPriority w:val="99"/>
    <w:rsid w:val="0083140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04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9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2F25B7CAE1544AB2DC4DAD68FC29C8" ma:contentTypeVersion="9" ma:contentTypeDescription="Create a new document." ma:contentTypeScope="" ma:versionID="e79b48ed33ca1398f319a3a9a1773cdd">
  <xsd:schema xmlns:xsd="http://www.w3.org/2001/XMLSchema" xmlns:xs="http://www.w3.org/2001/XMLSchema" xmlns:p="http://schemas.microsoft.com/office/2006/metadata/properties" xmlns:ns3="798e5507-5840-4844-be35-f8e5491572cd" targetNamespace="http://schemas.microsoft.com/office/2006/metadata/properties" ma:root="true" ma:fieldsID="67deea9a1a836c1bc0897c8dc4385bc3" ns3:_="">
    <xsd:import namespace="798e5507-5840-4844-be35-f8e5491572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e5507-5840-4844-be35-f8e549157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65B796-DB19-4F10-A5D4-48CC08641550}">
  <ds:schemaRefs>
    <ds:schemaRef ds:uri="http://schemas.openxmlformats.org/officeDocument/2006/bibliography"/>
  </ds:schemaRefs>
</ds:datastoreItem>
</file>

<file path=customXml/itemProps2.xml><?xml version="1.0" encoding="utf-8"?>
<ds:datastoreItem xmlns:ds="http://schemas.openxmlformats.org/officeDocument/2006/customXml" ds:itemID="{1ED5F971-3E53-4607-83D6-1B9EA1C6B769}">
  <ds:schemaRefs>
    <ds:schemaRef ds:uri="http://schemas.microsoft.com/sharepoint/v3/contenttype/forms"/>
  </ds:schemaRefs>
</ds:datastoreItem>
</file>

<file path=customXml/itemProps3.xml><?xml version="1.0" encoding="utf-8"?>
<ds:datastoreItem xmlns:ds="http://schemas.openxmlformats.org/officeDocument/2006/customXml" ds:itemID="{FD1CC375-A021-497D-9B76-E47A43842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e5507-5840-4844-be35-f8e54915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969810-1BD5-4440-A13F-091C6C9A22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Laith Al-Kader</dc:creator>
  <cp:lastModifiedBy>Tina Moore</cp:lastModifiedBy>
  <cp:revision>12</cp:revision>
  <cp:lastPrinted>2020-02-24T11:47:00Z</cp:lastPrinted>
  <dcterms:created xsi:type="dcterms:W3CDTF">2020-02-26T16:06:00Z</dcterms:created>
  <dcterms:modified xsi:type="dcterms:W3CDTF">2021-03-26T15:07:00Z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Microsoft® Word for Office 365</vt:lpwstr>
  </property>
  <property fmtid="{D5CDD505-2E9C-101B-9397-08002B2CF9AE}" pid="4" name="LastSaved">
    <vt:filetime>2020-02-24T00:00:00Z</vt:filetime>
  </property>
  <property fmtid="{D5CDD505-2E9C-101B-9397-08002B2CF9AE}" pid="5" name="ContentTypeId">
    <vt:lpwstr>0x010100C62F25B7CAE1544AB2DC4DAD68FC29C8</vt:lpwstr>
  </property>
</Properties>
</file>